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C62CCA" w:rsidP="00F414CB">
            <w:pPr>
              <w:tabs>
                <w:tab w:val="left" w:pos="2400"/>
              </w:tabs>
              <w:rPr>
                <w:rFonts w:ascii="Cambria" w:hAnsi="Cambria" w:cs="Times New Roman"/>
                <w:sz w:val="20"/>
                <w:szCs w:val="20"/>
              </w:rPr>
            </w:pPr>
            <w:r w:rsidRPr="00C62CCA">
              <w:rPr>
                <w:rFonts w:ascii="Cambria" w:hAnsi="Cambria" w:cstheme="minorHAnsi"/>
                <w:sz w:val="20"/>
                <w:szCs w:val="20"/>
              </w:rPr>
              <w:t>Birim Kalite Temsilcisi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C62CCA" w:rsidP="002738BA">
            <w:pPr>
              <w:tabs>
                <w:tab w:val="left" w:pos="2400"/>
              </w:tabs>
              <w:rPr>
                <w:rFonts w:ascii="Cambria" w:hAnsi="Cambria" w:cs="Times New Roman"/>
                <w:sz w:val="20"/>
                <w:szCs w:val="20"/>
              </w:rPr>
            </w:pPr>
            <w:r w:rsidRPr="00C62CCA">
              <w:rPr>
                <w:rFonts w:ascii="Cambria" w:hAnsi="Cambria" w:cstheme="minorHAnsi"/>
                <w:sz w:val="20"/>
                <w:szCs w:val="20"/>
              </w:rPr>
              <w:t>Üst amiri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BB4E48">
        <w:trPr>
          <w:trHeight w:val="285"/>
        </w:trPr>
        <w:tc>
          <w:tcPr>
            <w:tcW w:w="10203" w:type="dxa"/>
            <w:shd w:val="clear" w:color="auto" w:fill="auto"/>
          </w:tcPr>
          <w:p w:rsidR="00FE4D19" w:rsidRPr="00E22D47" w:rsidRDefault="00C62CCA" w:rsidP="00C62CCA">
            <w:pPr>
              <w:spacing w:after="0"/>
              <w:jc w:val="both"/>
              <w:rPr>
                <w:rFonts w:ascii="Cambria" w:eastAsia="Calibri" w:hAnsi="Cambria" w:cs="Times New Roman"/>
                <w:sz w:val="20"/>
                <w:szCs w:val="20"/>
              </w:rPr>
            </w:pPr>
            <w:r w:rsidRPr="00C62CCA">
              <w:rPr>
                <w:rFonts w:ascii="Cambria" w:eastAsia="Calibri" w:hAnsi="Cambria" w:cs="Times New Roman"/>
                <w:sz w:val="20"/>
                <w:szCs w:val="20"/>
              </w:rPr>
              <w:t>Kalite Komisyonu ve Alt Komisyonlarla koordineli bir şekilde çalışarak bağlı olduğu birimin Kalite Güvence Sürecinden sorumludur.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22D47"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sz w:val="20"/>
                <w:szCs w:val="20"/>
              </w:rPr>
              <w:t xml:space="preserve">KYS istekleri doğrultusunda gerekli </w:t>
            </w:r>
            <w:proofErr w:type="gramStart"/>
            <w:r w:rsidRPr="00C62CCA">
              <w:rPr>
                <w:rFonts w:ascii="Cambria" w:hAnsi="Cambria"/>
                <w:sz w:val="20"/>
                <w:szCs w:val="20"/>
              </w:rPr>
              <w:t>proseslerin</w:t>
            </w:r>
            <w:proofErr w:type="gramEnd"/>
            <w:r w:rsidRPr="00C62CCA">
              <w:rPr>
                <w:rFonts w:ascii="Cambria" w:hAnsi="Cambria"/>
                <w:sz w:val="20"/>
                <w:szCs w:val="20"/>
              </w:rPr>
              <w:t xml:space="preserve"> oluşturulması, uygulanması, işlerliğinin kontrolü, güncel tutulması, denetimi ve sürekli iyileştirilmesinden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Birimin iç kontrol/kalite/kalite güvence gibi maksatlarla oluşturulan web sayfasının güncel ve üniversitenin geneliyle standart şekilde tutulmasından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Birimde tutulması gereken Kalite Güvence Dosyalarının kalite komisyonu ile koordineli bir şekilde güncel ve üniversitenin geneliyle standart şekilde tutulmasından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Birimde yapılması gereken Oryantasyon ve İdame Eğitimlerini planlayarak uygulanmasından ve eğitim tutanaklarının Oryantasyon ve İdame Eğitimi Dosyasında tutulmasından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Birimde Kalite Komisyonu ve alt komisyonlarıyla koordineli şekilde uygulanması gereken genel paydaş anketleri ve birimin kendi paydaş anketlerinin planlanması ve uygulanmasından, anket sonuçlarının değerlendirilerek işlem yapılmasından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Planlaması ve uygulaması yapılan anketlere yönelik paydaşlarla toplantılar yapılarak bu toplantı sonuçlarının değerlendirilerek yapılması gereken faaliyetlerin, kurumun GZTF ve Çevre Analizlerinin planlanmasından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Birimde kalite güvence çerçevesinde düzenli olarak tüm personele (akademik personel, idari, sürekli işçi, sözleşmeli personel vb.) başlangıç, yeterlilik, idame ve görev yeri değişimi eğitimlerinin yapılmasından sorumlu olmak,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Kalite güvencesine yönelik gerçekleştirilen eğitimler her dönem düzenli olarak yapılmasını ve tutanakla kayıt altına almasını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 xml:space="preserve">Birimde kalite güvence standartlarının karşılanması için ihtiyaç duyulan şekilsel yeterlilikler olan (kapılarda personel bilgi ve mesai durum kartları, odalarda ve malzemelerde sorumluluk kartları, malzeme kullanma/emniyet/bakım talimatları, iş prosesleri, personel görev tanım formları, </w:t>
            </w:r>
            <w:proofErr w:type="gramStart"/>
            <w:r w:rsidRPr="00C62CCA">
              <w:rPr>
                <w:rFonts w:ascii="Cambria" w:hAnsi="Cambria" w:cstheme="minorHAnsi"/>
                <w:sz w:val="20"/>
                <w:szCs w:val="20"/>
              </w:rPr>
              <w:t>misyon</w:t>
            </w:r>
            <w:proofErr w:type="gramEnd"/>
            <w:r w:rsidRPr="00C62CCA">
              <w:rPr>
                <w:rFonts w:ascii="Cambria" w:hAnsi="Cambria" w:cstheme="minorHAnsi"/>
                <w:sz w:val="20"/>
                <w:szCs w:val="20"/>
              </w:rPr>
              <w:t>/vizyon/Politika/Değerleri gösteren panolar, görev yeri sorumluluk ve kontrol çizelgeleri, ikaz ve yönlendirici yazı ve levhalar vb. şekilsel ve yapısal gerekliliklerin kalite komisyonu ve alt komisyonlarla koordineli bir şekilde üniversitenin geneliyle standart olacak şekilde olmasını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Üniversitenin stratejik planı çerçevesinde bağlı olduğu birimin iç değerlendirme raporunu hazırlamak,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GZTF ve Çevre Analizlerinin güncel bir şekilde tutulmasını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 xml:space="preserve">Her akademik dönem başlangıcında akademik personel ile Türkiye Yükseköğretim Yeterlilikleri Çerçevesi, Stratejik Plan, Paydaş Anketleri ve Toplantılarının sonuçlarının farkındalığı ve </w:t>
            </w:r>
            <w:proofErr w:type="gramStart"/>
            <w:r w:rsidRPr="00C62CCA">
              <w:rPr>
                <w:rFonts w:ascii="Cambria" w:hAnsi="Cambria" w:cstheme="minorHAnsi"/>
                <w:sz w:val="20"/>
                <w:szCs w:val="20"/>
              </w:rPr>
              <w:t>bu  çıktılarla</w:t>
            </w:r>
            <w:proofErr w:type="gramEnd"/>
            <w:r w:rsidRPr="00C62CCA">
              <w:rPr>
                <w:rFonts w:ascii="Cambria" w:hAnsi="Cambria" w:cstheme="minorHAnsi"/>
                <w:sz w:val="20"/>
                <w:szCs w:val="20"/>
              </w:rPr>
              <w:t xml:space="preserve"> birlikte ders bilgi paketlerinin düzenlenmesine ilişkin toplantı yapılmasını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Ortadan kaldırılan risklerin kurumsal bilgi olarak kayıt altına alınmasını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Birimlerin temel faaliyet alanları olan eğitim-öğretim, araştırma, yönetim ve sosyal sorumluluk alanlarındaki faaliyetlerin mevzuatlara uygun şekilde yürütülmesini sağlamak,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Akademik personelin temel vazifesinin eğitim-öğretim ve araştırma olmasını sağlayacak yasal tedbirleri almak,</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Eğitim ve Öğretim faaliyetinin aksamaması için her türlü yasal tedbiri almaktan ve önermekten sorumludur. Alınacak tedbirlere rağmen yaşanacak aksaklıkları tutanak altına alarak gerekli birimlerle koordine edip ileride yaşanacak aksaklıkları engellemeye çalışır.</w:t>
            </w:r>
          </w:p>
          <w:p w:rsidR="00C62CCA" w:rsidRPr="00C62CCA" w:rsidRDefault="00C62CCA" w:rsidP="00C62CCA">
            <w:pPr>
              <w:pStyle w:val="ListeParagraf"/>
              <w:numPr>
                <w:ilvl w:val="0"/>
                <w:numId w:val="1"/>
              </w:numPr>
              <w:spacing w:after="0"/>
              <w:ind w:left="357" w:hanging="357"/>
              <w:jc w:val="both"/>
              <w:rPr>
                <w:rFonts w:ascii="Cambria" w:hAnsi="Cambria" w:cstheme="minorHAnsi"/>
                <w:sz w:val="20"/>
                <w:szCs w:val="20"/>
              </w:rPr>
            </w:pPr>
            <w:r w:rsidRPr="00C62CCA">
              <w:rPr>
                <w:rFonts w:ascii="Cambria" w:hAnsi="Cambria" w:cstheme="minorHAnsi"/>
                <w:sz w:val="20"/>
                <w:szCs w:val="20"/>
              </w:rPr>
              <w:t>Yükseköğretim Kurulu Başkanlığından gelen duyuruların ilgili birimlere iletilmesi ile ilgili işlemlerin kontrolünü sağlamak,</w:t>
            </w:r>
          </w:p>
          <w:p w:rsidR="00C62CCA" w:rsidRPr="00E22D47" w:rsidRDefault="00C62CCA" w:rsidP="00C62CCA">
            <w:pPr>
              <w:pStyle w:val="ListeParagraf"/>
              <w:numPr>
                <w:ilvl w:val="0"/>
                <w:numId w:val="1"/>
              </w:numPr>
              <w:spacing w:after="0"/>
              <w:ind w:left="357" w:hanging="357"/>
              <w:jc w:val="both"/>
              <w:rPr>
                <w:rFonts w:ascii="Cambria" w:hAnsi="Cambria" w:cstheme="minorHAnsi"/>
                <w:b/>
              </w:rPr>
            </w:pPr>
            <w:proofErr w:type="gramStart"/>
            <w:r w:rsidRPr="00C62CCA">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B4E4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lastRenderedPageBreak/>
              <w:t>Yukarıda belirtilen görev ve sorumlulukları gerçe</w:t>
            </w:r>
            <w:r w:rsidR="00BB4E48">
              <w:rPr>
                <w:rFonts w:ascii="Cambria" w:hAnsi="Cambria" w:cs="Times New Roman"/>
                <w:sz w:val="20"/>
                <w:szCs w:val="20"/>
              </w:rPr>
              <w:t>kleştirme yetkisine sahip olmak,</w:t>
            </w:r>
          </w:p>
          <w:p w:rsidR="00D3516A" w:rsidRPr="00B87134" w:rsidRDefault="00C4384F" w:rsidP="00BB4E4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BB4E48">
        <w:trPr>
          <w:trHeight w:val="316"/>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BB4E48">
              <w:rPr>
                <w:rFonts w:ascii="Cambria" w:hAnsi="Cambria"/>
                <w:sz w:val="20"/>
                <w:szCs w:val="20"/>
              </w:rPr>
              <w:t>sayılı</w:t>
            </w:r>
            <w:r>
              <w:rPr>
                <w:rFonts w:ascii="Cambria" w:hAnsi="Cambria"/>
                <w:sz w:val="20"/>
                <w:szCs w:val="20"/>
              </w:rPr>
              <w:t xml:space="preserve"> </w:t>
            </w:r>
            <w:r w:rsidR="00BB4E48">
              <w:rPr>
                <w:rFonts w:ascii="Cambria" w:hAnsi="Cambria"/>
                <w:sz w:val="20"/>
                <w:szCs w:val="20"/>
              </w:rPr>
              <w:t xml:space="preserve">Devlet </w:t>
            </w:r>
            <w:r>
              <w:rPr>
                <w:rFonts w:ascii="Cambria" w:hAnsi="Cambria"/>
                <w:sz w:val="20"/>
                <w:szCs w:val="20"/>
              </w:rPr>
              <w:t>Memurl</w:t>
            </w:r>
            <w:r w:rsidR="00BB4E48">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BB4E48">
        <w:trPr>
          <w:trHeight w:val="229"/>
        </w:trPr>
        <w:tc>
          <w:tcPr>
            <w:tcW w:w="10203" w:type="dxa"/>
            <w:shd w:val="clear" w:color="auto" w:fill="auto"/>
          </w:tcPr>
          <w:p w:rsidR="00C62CCA" w:rsidRDefault="00BB4E48" w:rsidP="00C62CCA">
            <w:pPr>
              <w:pStyle w:val="ListeParagraf"/>
              <w:numPr>
                <w:ilvl w:val="0"/>
                <w:numId w:val="9"/>
              </w:numPr>
              <w:spacing w:after="0"/>
              <w:ind w:left="357" w:hanging="357"/>
              <w:jc w:val="both"/>
              <w:rPr>
                <w:rFonts w:ascii="Cambria" w:hAnsi="Cambria" w:cs="Times New Roman"/>
                <w:sz w:val="20"/>
                <w:szCs w:val="20"/>
              </w:rPr>
            </w:pPr>
            <w:bookmarkStart w:id="0" w:name="_GoBack"/>
            <w:bookmarkEnd w:id="0"/>
            <w:r w:rsidRPr="00C62CCA">
              <w:rPr>
                <w:rFonts w:ascii="Cambria" w:hAnsi="Cambria" w:cs="Times New Roman"/>
                <w:sz w:val="20"/>
                <w:szCs w:val="20"/>
              </w:rPr>
              <w:t>657 s</w:t>
            </w:r>
            <w:r w:rsidR="003A03C9" w:rsidRPr="00C62CCA">
              <w:rPr>
                <w:rFonts w:ascii="Cambria" w:hAnsi="Cambria" w:cs="Times New Roman"/>
                <w:sz w:val="20"/>
                <w:szCs w:val="20"/>
              </w:rPr>
              <w:t xml:space="preserve">ayılı </w:t>
            </w:r>
            <w:r w:rsidRPr="00C62CCA">
              <w:rPr>
                <w:rFonts w:ascii="Cambria" w:hAnsi="Cambria" w:cs="Times New Roman"/>
                <w:sz w:val="20"/>
                <w:szCs w:val="20"/>
              </w:rPr>
              <w:t xml:space="preserve">Devlet </w:t>
            </w:r>
            <w:r w:rsidR="003A03C9" w:rsidRPr="00C62CCA">
              <w:rPr>
                <w:rFonts w:ascii="Cambria" w:hAnsi="Cambria" w:cs="Times New Roman"/>
                <w:sz w:val="20"/>
                <w:szCs w:val="20"/>
              </w:rPr>
              <w:t>Memurları Kanunu</w:t>
            </w:r>
          </w:p>
          <w:p w:rsid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2547 sayılı Yükseköğretim Kanunu</w:t>
            </w:r>
          </w:p>
          <w:p w:rsid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Yükseköğretim Kalite Güvencesi Ve Yükseköğretim Kalite Kurulu Yönetmeliği</w:t>
            </w:r>
          </w:p>
          <w:p w:rsid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Kalite Komisyonu Çalışma Usul ve Esasları Yönergesi</w:t>
            </w:r>
          </w:p>
          <w:p w:rsid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124 sayılı Yüksek Öğretim Üst Kuruluşları ile Yüksek Öğretim Kurumlarının İdari Teşkilatı Hakkında KHK</w:t>
            </w:r>
          </w:p>
          <w:p w:rsid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 xml:space="preserve">6698 </w:t>
            </w:r>
            <w:proofErr w:type="gramStart"/>
            <w:r w:rsidRPr="00C62CCA">
              <w:rPr>
                <w:rFonts w:ascii="Cambria" w:hAnsi="Cambria" w:cs="Times New Roman"/>
                <w:sz w:val="20"/>
                <w:szCs w:val="20"/>
              </w:rPr>
              <w:t>sayılı  Kişisel</w:t>
            </w:r>
            <w:proofErr w:type="gramEnd"/>
            <w:r w:rsidRPr="00C62CCA">
              <w:rPr>
                <w:rFonts w:ascii="Cambria" w:hAnsi="Cambria" w:cs="Times New Roman"/>
                <w:sz w:val="20"/>
                <w:szCs w:val="20"/>
              </w:rPr>
              <w:t xml:space="preserve"> Verilerin Korunması Kanunu</w:t>
            </w:r>
          </w:p>
          <w:p w:rsidR="00C62CCA" w:rsidRPr="00C62CCA" w:rsidRDefault="00C62CCA" w:rsidP="00C62CCA">
            <w:pPr>
              <w:pStyle w:val="ListeParagraf"/>
              <w:numPr>
                <w:ilvl w:val="0"/>
                <w:numId w:val="9"/>
              </w:numPr>
              <w:spacing w:after="0"/>
              <w:ind w:left="357" w:hanging="357"/>
              <w:jc w:val="both"/>
              <w:rPr>
                <w:rFonts w:ascii="Cambria" w:hAnsi="Cambria" w:cs="Times New Roman"/>
                <w:sz w:val="20"/>
                <w:szCs w:val="20"/>
              </w:rPr>
            </w:pPr>
            <w:r w:rsidRPr="00C62CCA">
              <w:rPr>
                <w:rFonts w:ascii="Cambria" w:hAnsi="Cambria" w:cs="Times New Roman"/>
                <w:sz w:val="20"/>
                <w:szCs w:val="20"/>
              </w:rPr>
              <w:t>Üniversitelerde Akademik Teşkilât Yönetmeliği</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EC" w:rsidRDefault="009075EC">
      <w:pPr>
        <w:spacing w:after="0" w:line="240" w:lineRule="auto"/>
      </w:pPr>
      <w:r>
        <w:separator/>
      </w:r>
    </w:p>
  </w:endnote>
  <w:endnote w:type="continuationSeparator" w:id="0">
    <w:p w:rsidR="009075EC" w:rsidRDefault="0090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62CCA">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62CCA">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EC" w:rsidRDefault="009075EC">
      <w:pPr>
        <w:spacing w:after="0" w:line="240" w:lineRule="auto"/>
      </w:pPr>
      <w:r>
        <w:separator/>
      </w:r>
    </w:p>
  </w:footnote>
  <w:footnote w:type="continuationSeparator" w:id="0">
    <w:p w:rsidR="009075EC" w:rsidRDefault="00907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075E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75111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49048848"/>
    <w:lvl w:ilvl="0" w:tplc="AEAC703E">
      <w:start w:val="1"/>
      <w:numFmt w:val="decimal"/>
      <w:lvlText w:val="%1."/>
      <w:lvlJc w:val="left"/>
      <w:pPr>
        <w:ind w:left="1077" w:hanging="360"/>
      </w:pPr>
      <w:rPr>
        <w:rFonts w:ascii="Cambria" w:eastAsiaTheme="minorEastAsia" w:hAnsi="Cambria" w:cs="Times New Roman"/>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075EC"/>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4E48"/>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62CCA"/>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59D9"/>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3940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2021-11-16T11:21:00Z</dcterms:created>
  <dcterms:modified xsi:type="dcterms:W3CDTF">2021-11-18T11:32:00Z</dcterms:modified>
</cp:coreProperties>
</file>